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Osavi rozpoczyna współpracę z Rocket Science w zakresie działań PR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Osavi to nowoczesne suplementy diety z kategorii premium z siedzibą firmy w Polsce. Obecnie w swojej ofercie posiada ponad 40 produktów. Jest to marka własna firmy Olivit – dystrybutora ponad 9 tys. produktów na całym świecie z wieloletnim doświadczeniem.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Jako marka Osavi nie podejmowaliśmy dotychczas współpracy w zakresie działań public relations. Zdecydowaliśmy się na współpracę z Agencją Rocket Science Communications, ponieważ stawiamy na zaangażowanie i profesjonalizm. Chcemy wkroczyć w rok 2022 jako firma, która rozwiązuje problem niepewności co do jakości suplementów diety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Armand Przygodzki, prezes Osavi.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Osavi</w:t>
        </w:r>
      </w:hyperlink>
      <w:r>
        <w:rPr>
          <w:rFonts w:ascii="calibri" w:hAnsi="calibri" w:eastAsia="calibri" w:cs="calibri"/>
          <w:sz w:val="24"/>
          <w:szCs w:val="24"/>
        </w:rPr>
        <w:t xml:space="preserve"> wyróżniają innowacyjne formuły produktów – obok klasycznych kapsułek w ofercie znajdują się również suplementy w formie sprayu i żelek oraz wersje dla osób na dietach wykluczających, m.in. wegetariańskich, wegańskich, bezcukrowych, bezlaktozowych czy ketogenicznych. Jako jedni z nielicznych swoje wyroby produkują w Unii Europejskiej oraz poddają niezależnym badaniom laboratoryjnym. Marka jako pierwsza w swojej branży wprowadziła całkowicie ekologiczne opakowanie, które w całości można poddać recyklingowi, dzięki nowoczesnej technologii druku etykiet.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Produkty Osavi są propozycją dla konsumentów poszukujących ekologicznych i innowacyjnych suplementów. Nazwa Osavi pochodzi od angielskiego słowa „savy”, które oznacza oszczędność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u nas jest to prostota składów, w naszych produktach nie występują zbędne wypełniacze i niezdrowe dodatki. Przede wszystkim tworzymy w duchu less waste, chcemy oszczędzać planetę, dlatego dbamy o ograniczenie do minimum śladu węglowego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dodaje Armand Przygodzki.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Rocket Science Communications obsługuje między innymi firmy: Advox, ClickMeeting, Evolution, Fundację Sukcesu Pisanego Szminką, NoFluffJobs, SentiOne oraz 4cv. Agencja wspiera marki w działaniach PR nie tylko w Polsce, lecz także w Niemczech i na Węgrzech.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sav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2025-10-14T00:57:16+02:00</dcterms:created>
  <dcterms:modified xsi:type="dcterms:W3CDTF">2025-10-14T00:57:16+02:00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